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p-population-development"/>
    <w:p>
      <w:pPr>
        <w:pStyle w:val="berschrift1"/>
      </w:pPr>
      <w:r>
        <w:t xml:space="preserve">CKP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 - including the effects of aging as appropriate -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populatoins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 While gabapentin is a substrate of the OCT2 influx transporter in kidney, co-administration in humans with the OCT2 inhibitor C</w:t>
      </w:r>
      <w:r>
        <w:t xml:space="preserve">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 µM</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 PO</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t xml:space="preserve">Figure 3.1.1 demonstrates the simulated oral model PK profiles in a healthy population compared against observed Blum 1994 study data.</w:t>
      </w:r>
      <w:r>
        <w:t xml:space="preserve">REF</w:t>
      </w:r>
    </w:p>
    <w:p>
      <w:r>
        <w:br w:type="page"/>
      </w:r>
    </w:p>
    <w:p>
      <w:pPr>
        <w:pStyle w:val="CaptionedFigure"/>
      </w:pPr>
      <w:r>
        <w:drawing>
          <wp:inline>
            <wp:extent cx="5969000" cy="4083790"/>
            <wp:effectExtent b="0" l="0" r="0" t="0"/>
            <wp:docPr descr="Figure 1: Simulation of the pharmacokinetics of Gabapentin after a single dose of 400 mg in healthy subjects. Observed data (circles) presented from Blum."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Simulation of the pharmacokinetics of Gabapentin after a single dose of 400 mg in healthy subjects. Observed data (circles) presented from Blum.</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Roux 1980 (eGFR 30-59 mL/min/1.73m</w:t>
      </w:r>
      <w:r>
        <w:t xml:space="preserve">2</w:t>
      </w:r>
      <w:r>
        <w:t xml:space="preserve">). Simulation of the pharmacokinetics of gabapentin after a single oral dose of 400 mg in this target population is presented in Figure 3.1.2.</w:t>
      </w:r>
    </w:p>
    <w:p>
      <w:pPr>
        <w:pStyle w:val="Textkrper"/>
      </w:pPr>
      <w:r>
        <w:t xml:space="preserve">A population with Stage 4-5 CKD was created according to the demographic parameters of the target population presented in the study of Roux 1980 (eGFR 1-30 mL/min/1.73m</w:t>
      </w:r>
      <w:r>
        <w:t xml:space="preserve">2</w:t>
      </w:r>
      <w:r>
        <w:t xml:space="preserve">). Simulation of the pharmacokinetics of gabapentin after a single oral dose of 400 mg in this target population is presented in Figure 3.1.3.</w:t>
      </w:r>
    </w:p>
    <w:p>
      <w:r>
        <w:br w:type="page"/>
      </w:r>
    </w:p>
    <w:p>
      <w:pPr>
        <w:pStyle w:val="CaptionedFigure"/>
      </w:pPr>
      <w:r>
        <w:drawing>
          <wp:inline>
            <wp:extent cx="5969000" cy="4083790"/>
            <wp:effectExtent b="0" l="0" r="0" t="0"/>
            <wp:docPr descr="Figure 2: Simulation of the pharmacokinetics of Gabapentin after a single dose of 400 mg in subjects with CKD. Observed data (circles) presented from Blum."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Simulation of the pharmacokinetics of Gabapentin after a single dose of 400 mg in subjects with CKD. Observed data (circles) presented from Blum.</w:t>
      </w:r>
    </w:p>
    <w:p>
      <w:pPr>
        <w:pStyle w:val="Textkrper"/>
      </w:pPr>
      <w:r>
        <w:t xml:space="preserve"> </w:t>
      </w:r>
    </w:p>
    <w:p>
      <w:r>
        <w:br w:type="page"/>
      </w:r>
    </w:p>
    <w:p>
      <w:pPr>
        <w:pStyle w:val="CaptionedFigure"/>
      </w:pPr>
      <w:r>
        <w:drawing>
          <wp:inline>
            <wp:extent cx="5969000" cy="4083790"/>
            <wp:effectExtent b="0" l="0" r="0" t="0"/>
            <wp:docPr descr="Figure 3: Simulation of the pharmacokinetics of Gabapentin after a single dose of 400 mg in subjects with CKD. Observed data (circles) presented from Blum."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Simulation of the pharmacokinetics of Gabapentin after a single dose of 400 mg in subjects with CKD. Observed data (circles) presented from Blum.</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40</w:t>
            </w:r>
          </w:p>
        </w:tc>
      </w:tr>
      <w:tr>
        <w:tc>
          <w:tcPr/>
          <w:p>
            <w:pPr>
              <w:pStyle w:val="Compact"/>
              <w:jc w:val="left"/>
            </w:pPr>
            <w:r>
              <w:t xml:space="preserve">Molecular weight (MW)</w:t>
            </w:r>
          </w:p>
        </w:tc>
        <w:tc>
          <w:tcPr/>
          <w:p>
            <w:pPr>
              <w:pStyle w:val="Compact"/>
              <w:jc w:val="left"/>
            </w:pPr>
            <w:r>
              <w:t xml:space="preserve">336.43 g/mol</w:t>
            </w:r>
            <w:r>
              <w:t xml:space="preserve">40</w:t>
            </w:r>
          </w:p>
        </w:tc>
      </w:tr>
      <w:tr>
        <w:tc>
          <w:tcPr/>
          <w:p>
            <w:pPr>
              <w:pStyle w:val="Compact"/>
              <w:jc w:val="left"/>
            </w:pPr>
            <w:r>
              <w:t xml:space="preserve">pKa</w:t>
            </w:r>
          </w:p>
        </w:tc>
        <w:tc>
          <w:tcPr/>
          <w:p>
            <w:pPr>
              <w:pStyle w:val="Compact"/>
              <w:jc w:val="left"/>
            </w:pPr>
            <w:r>
              <w:t xml:space="preserve">9.40</w:t>
            </w:r>
            <w:r>
              <w:t xml:space="preserve">41</w:t>
            </w:r>
          </w:p>
        </w:tc>
      </w:tr>
      <w:tr>
        <w:tc>
          <w:tcPr/>
          <w:p>
            <w:pPr>
              <w:pStyle w:val="Compact"/>
              <w:jc w:val="left"/>
            </w:pPr>
            <w:r>
              <w:t xml:space="preserve">Water solubility</w:t>
            </w:r>
          </w:p>
        </w:tc>
        <w:tc>
          <w:tcPr/>
          <w:p>
            <w:pPr>
              <w:pStyle w:val="Compact"/>
              <w:jc w:val="left"/>
            </w:pPr>
            <w:r>
              <w:t xml:space="preserve">200 mg/mL</w:t>
            </w:r>
            <w:r>
              <w:t xml:space="preserve">41</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42</w:t>
            </w:r>
          </w:p>
        </w:tc>
      </w:tr>
      <w:tr>
        <w:tc>
          <w:tcPr/>
          <w:p>
            <w:pPr>
              <w:pStyle w:val="Compact"/>
              <w:jc w:val="left"/>
            </w:pPr>
            <w:r>
              <w:t xml:space="preserve">CYP concentration</w:t>
            </w:r>
          </w:p>
        </w:tc>
        <w:tc>
          <w:tcPr/>
          <w:p>
            <w:pPr>
              <w:pStyle w:val="Compact"/>
              <w:jc w:val="left"/>
            </w:pPr>
            <w:r>
              <w:t xml:space="preserve">log-normally distributed with mean 1.0 µM and geometric SD 1.40 µM</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 </w:t>
            </w:r>
            <w:r>
              <w:t xml:space="preserve">47</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 </w:t>
            </w:r>
            <w:r>
              <w:t xml:space="preserve">46</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2</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1</w:t>
      </w:r>
      <w:r>
        <w:t xml:space="preserve">.</w:t>
      </w:r>
    </w:p>
    <w:p>
      <w:pPr>
        <w:pStyle w:val="Textkrper"/>
      </w:pPr>
      <w:r>
        <w:t xml:space="preserve">The estimated fraction excreted to urine of 12% approximated the observed value of 15% measured at 70 hours after oral administration.</w:t>
      </w:r>
      <w:r>
        <w:t xml:space="preserve">37,43,44</w:t>
      </w:r>
      <w:r>
        <w:t xml:space="preserve"> </w:t>
      </w:r>
      <w:r>
        <w:t xml:space="preserve">In contrast, the estimated fraction excreted to urine of 21% slightly underestimated the observed value of 35% measured at 48 hours after IV bolus administration.</w:t>
      </w:r>
      <w:r>
        <w:t xml:space="preserve">35,42</w:t>
      </w:r>
    </w:p>
    <w:p>
      <w:r>
        <w:br w:type="page"/>
      </w:r>
    </w:p>
    <w:p>
      <w:pPr>
        <w:pStyle w:val="Textkrper"/>
      </w:pPr>
      <w:r>
        <w:rPr>
          <w:bCs/>
          <w:b/>
        </w:rPr>
        <w:t xml:space="preserve">Table 2.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45</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45</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t xml:space="preserve">Figure 3.2.1 demonstrate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Simulation of the pharmacokinetics of Acebutolol after a single dose of 200 mg in healthy subjects. Observed data (circles) presented from Roux."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Simulation of the pharmacokinetics of Acebutolol after a single dose of 200 mg in healthy subjects. Observed data (circles) presented from Roux.</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 Figure 3.2.2.</w:t>
      </w:r>
    </w:p>
    <w:p>
      <w:r>
        <w:br w:type="page"/>
      </w:r>
    </w:p>
    <w:p>
      <w:pPr>
        <w:pStyle w:val="CaptionedFigure"/>
      </w:pPr>
      <w:r>
        <w:drawing>
          <wp:inline>
            <wp:extent cx="5969000" cy="4083790"/>
            <wp:effectExtent b="0" l="0" r="0" t="0"/>
            <wp:docPr descr="Figure 5: Simulation of the pharmacokinetics of Acebutolol after a single dose of 200 mg in subjects with CKD. Observed data (circles) presented from Roux."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Simulation of the pharmacokinetics of Acebutolol after a single dose of 200 mg in subjects with CKD. Observed data (circles) presented from Roux.</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48</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49</w:t>
      </w:r>
      <w:r>
        <w:t xml:space="preserve"> </w:t>
      </w:r>
      <w:r>
        <w:t xml:space="preserve">Following oral administration, 50-60% of the dose is recovered in urine.</w:t>
      </w:r>
      <w:r>
        <w:t xml:space="preserve">49</w:t>
      </w:r>
      <w:r>
        <w:t xml:space="preserve"> </w:t>
      </w:r>
      <w:r>
        <w:t xml:space="preserve">These findings suggested that atenolol is not fully absorbed in the gastrointestinal tract and has a bioavailability of approximately 50%.</w:t>
      </w:r>
      <w:r>
        <w:t xml:space="preserve">49</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50</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1</w:t>
      </w:r>
      <w:r>
        <w:t xml:space="preserve"> </w:t>
      </w:r>
      <w:r>
        <w:t xml:space="preserve">and</w:t>
      </w:r>
      <w:r>
        <w:t xml:space="preserve"> </w:t>
      </w:r>
      <w:r>
        <w:rPr>
          <w:bCs/>
          <w:b/>
        </w:rPr>
        <w:t xml:space="preserve">Table 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2</w:t>
      </w:r>
      <w:r>
        <w:t xml:space="preserve"> </w:t>
      </w:r>
      <w:r>
        <w:t xml:space="preserve">and</w:t>
      </w:r>
      <w:r>
        <w:t xml:space="preserve"> </w:t>
      </w:r>
      <w:r>
        <w:rPr>
          <w:bCs/>
          <w:b/>
        </w:rPr>
        <w:t xml:space="preserve">Table 4</w:t>
      </w:r>
      <w:r>
        <w:t xml:space="preserve">.</w:t>
      </w:r>
    </w:p>
    <w:bookmarkStart w:id="49" w:name="iv-model"/>
    <w:p>
      <w:pPr>
        <w:pStyle w:val="berschrift5"/>
      </w:pPr>
      <w:r>
        <w:t xml:space="preserve">IV model</w:t>
      </w:r>
    </w:p>
    <w:p>
      <w:r>
        <w:br w:type="page"/>
      </w:r>
    </w:p>
    <w:p>
      <w:pPr>
        <w:pStyle w:val="FirstParagraph"/>
      </w:pPr>
      <w:r>
        <w:rPr>
          <w:bCs/>
          <w:b/>
        </w:rPr>
        <w:t xml:space="preserve">Table 1.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48</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48</w:t>
            </w:r>
          </w:p>
        </w:tc>
      </w:tr>
      <w:tr>
        <w:tc>
          <w:tcPr/>
          <w:p>
            <w:pPr>
              <w:pStyle w:val="Compact"/>
              <w:jc w:val="left"/>
            </w:pPr>
            <w:r>
              <w:t xml:space="preserve">Water solubility</w:t>
            </w:r>
          </w:p>
        </w:tc>
        <w:tc>
          <w:tcPr/>
          <w:p>
            <w:pPr>
              <w:pStyle w:val="Compact"/>
              <w:jc w:val="left"/>
            </w:pPr>
            <w:r>
              <w:t xml:space="preserve">13.30 mg/mL</w:t>
            </w:r>
            <w:r>
              <w:t xml:space="preserve">48</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49</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68</w:t>
            </w:r>
          </w:p>
        </w:tc>
      </w:tr>
      <w:tr>
        <w:tc>
          <w:tcPr/>
          <w:p>
            <w:pPr>
              <w:pStyle w:val="Compact"/>
              <w:jc w:val="left"/>
            </w:pPr>
            <w:r>
              <w:t xml:space="preserve">OCT K</w:t>
            </w:r>
            <w:r>
              <w:t xml:space="preserve">m</w:t>
            </w:r>
          </w:p>
        </w:tc>
        <w:tc>
          <w:tcPr/>
          <w:p>
            <w:pPr>
              <w:pStyle w:val="Compact"/>
              <w:jc w:val="left"/>
            </w:pPr>
            <w:r>
              <w:t xml:space="preserve">200 µM</w:t>
            </w:r>
            <w:r>
              <w:t xml:space="preserve">51</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50</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51</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2</w:t>
      </w:r>
      <w:r>
        <w:t xml:space="preserve"> </w:t>
      </w:r>
      <w:r>
        <w:t xml:space="preserve">presents the atenolol datasets used for building the IV model. The optimized values are presented in</w:t>
      </w:r>
      <w:r>
        <w:t xml:space="preserve"> </w:t>
      </w:r>
      <w:r>
        <w:rPr>
          <w:bCs/>
          <w:b/>
        </w:rPr>
        <w:t xml:space="preserve">Table 1</w:t>
      </w:r>
      <w:r>
        <w:t xml:space="preserve">. A proportional error model was chosen (i.e., log scaling).</w:t>
      </w:r>
    </w:p>
    <w:p>
      <w:r>
        <w:br w:type="page"/>
      </w:r>
    </w:p>
    <w:p>
      <w:pPr>
        <w:pStyle w:val="Textkrper"/>
      </w:pPr>
      <w:r>
        <w:rPr>
          <w:bCs/>
          <w:b/>
        </w:rPr>
        <w:t xml:space="preserve">Table 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53</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54</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56</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w:t>
      </w:r>
      <w:r>
        <w:t xml:space="preserve">). A Weibull function was used to describe the dissolution profile.</w:t>
      </w:r>
    </w:p>
    <w:p>
      <w:r>
        <w:br w:type="page"/>
      </w:r>
    </w:p>
    <w:p>
      <w:pPr>
        <w:pStyle w:val="Textkrper"/>
      </w:pPr>
      <w:r>
        <w:rPr>
          <w:bCs/>
          <w:b/>
        </w:rPr>
        <w:t xml:space="preserve">Table 3.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48</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67</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58-61</w:t>
      </w:r>
      <w:r>
        <w:t xml:space="preserve"> </w:t>
      </w:r>
      <w:r>
        <w:t xml:space="preserve">The transporter-mediated uptake of atenolol is likely driven by the influx Plasma Membrane Monoamine Transporter (PMAT/SLC29A4) located on the apical membrane.</w:t>
      </w:r>
      <w:r>
        <w:t xml:space="preserve">62,63</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64</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65</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54</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55</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66</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56</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56</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t xml:space="preserve">Figures 3.3.1, 3.3.2, and 3.3.3 demonstrate the simulated oral model PK profiles in a population compared against observed data from Wan 1979, Kirch 1981, and Sassard 1977, respectively.</w:t>
      </w:r>
      <w:r>
        <w:t xml:space="preserve">REF,REF,REF</w:t>
      </w:r>
      <w:r>
        <w:t xml:space="preserve">.</w:t>
      </w:r>
    </w:p>
    <w:p>
      <w:r>
        <w:br w:type="page"/>
      </w:r>
    </w:p>
    <w:p>
      <w:pPr>
        <w:pStyle w:val="CaptionedFigure"/>
      </w:pPr>
      <w:r>
        <w:drawing>
          <wp:inline>
            <wp:extent cx="5969000" cy="4083790"/>
            <wp:effectExtent b="0" l="0" r="0" t="0"/>
            <wp:docPr descr="Figure 6: Simulation of the pharmacokinetics of Atenolol after multiple doses of 100 mg once daily in healthy subjects. Observed data (circles) presented from Kirch."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Simulation of the pharmacokinetics of Atenolol after multiple doses of 100 mg once daily in healthy subjects.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7: Simulation of the pharmacokinetics of Atenolol after a single dose of 100 mg in healthy subjects. Observed data (circles) presented from Sassard."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Simulation of the pharmacokinetics of Atenolol after a single dose of 100 mg in healthy subjects.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8: Simulation of the pharmacokinetics of Atenolol after a single dose of 50 mg in healthy subjects. Observed data (circles) presented from Wan."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Simulation of the pharmacokinetics of Atenolol after a single dose of 50 mg in healthy subjects. Observed data (circles) presented from Wan.</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 (eGFR 37-60 mL/min/1.73m</w:t>
      </w:r>
      <w:r>
        <w:t xml:space="preserve">2</w:t>
      </w:r>
      <w:r>
        <w:t xml:space="preserve">). Simulation of the pharmacokinetics of atenolol after multiple oral doses of 100 mg once daily for 7 days in this target population is presented in Figure 3.3.4.</w:t>
      </w:r>
    </w:p>
    <w:p>
      <w:pPr>
        <w:pStyle w:val="Textkrper"/>
      </w:pPr>
      <w:r>
        <w:t xml:space="preserve">A population with Stage 4 CKD was created according to the demographic parameters of the target population presented in the study of Kirch 1981 (eGFR 17-30 mL/min/1.73m</w:t>
      </w:r>
      <w:r>
        <w:t xml:space="preserve">2</w:t>
      </w:r>
      <w:r>
        <w:t xml:space="preserve">). Simulation of the pharmacokinetics of atenolol after multiple oral doses of 100 mg once daily for 7 days in this target population is presented in Figure 3.3.5.</w:t>
      </w:r>
    </w:p>
    <w:p>
      <w:pPr>
        <w:pStyle w:val="Textkrper"/>
      </w:pPr>
      <w:r>
        <w:t xml:space="preserve">A population with Stage 5 CKD was created according to the demographic parameters of the target population presented in the study of Kirch 1981 (eGFR 5-9 mL/min/1.73m</w:t>
      </w:r>
      <w:r>
        <w:t xml:space="preserve">2</w:t>
      </w:r>
      <w:r>
        <w:t xml:space="preserve">). Simulation of the pharmacokinetics of atenolol after multiple oral doses of 100 mg once daily for 7 days in this target population is presented in Figure 3.3.6.</w:t>
      </w:r>
    </w:p>
    <w:p>
      <w:pPr>
        <w:pStyle w:val="Textkrper"/>
      </w:pPr>
      <w:r>
        <w:t xml:space="preserve">A population with Stage 3 CKD was created according to the demographic parameters of the target population presented in the study of Sassard 1977 (eGFR 46-60 mL/min/1.73m</w:t>
      </w:r>
      <w:r>
        <w:t xml:space="preserve">2</w:t>
      </w:r>
      <w:r>
        <w:t xml:space="preserve">). Simulation of the whole blood pharmacokinetics of atenolol after a single oral dose of 100 mg in this target population is presented in Figure 3.3.7.</w:t>
      </w:r>
    </w:p>
    <w:p>
      <w:pPr>
        <w:pStyle w:val="Textkrper"/>
      </w:pPr>
      <w:r>
        <w:t xml:space="preserve">A population with Stage 4-5 CKD was created according to the demographic parameters of the target population presented in the study of Sassard 1977 (eGFR 8-24 mL/min/1.73m</w:t>
      </w:r>
      <w:r>
        <w:t xml:space="preserve">2</w:t>
      </w:r>
      <w:r>
        <w:t xml:space="preserve">). Simulation of the whole blood pharmacokinetics of atenolol after a single oral dose of 100 mg in this target population is presented in Figure 3.3.8.</w:t>
      </w:r>
    </w:p>
    <w:p>
      <w:pPr>
        <w:pStyle w:val="Textkrper"/>
      </w:pPr>
      <w:r>
        <w:t xml:space="preserve">A population with Stage 3-4 CKD was created according to the demographic parameters of the target population presented in the study of Wan 1979 (eGFR 15-42 mL/min/1.73m</w:t>
      </w:r>
      <w:r>
        <w:t xml:space="preserve">2</w:t>
      </w:r>
      <w:r>
        <w:t xml:space="preserve">). Simulation of the pharmacokinetics of atenolol after a single oral dose of 50 mg in this target population is presented in Figure 3.3.9.</w:t>
      </w:r>
    </w:p>
    <w:p>
      <w:r>
        <w:br w:type="page"/>
      </w:r>
    </w:p>
    <w:p>
      <w:pPr>
        <w:pStyle w:val="CaptionedFigure"/>
      </w:pPr>
      <w:r>
        <w:drawing>
          <wp:inline>
            <wp:extent cx="5969000" cy="4083790"/>
            <wp:effectExtent b="0" l="0" r="0" t="0"/>
            <wp:docPr descr="Figure 9: Simulation of the pharmacokinetics of Atenolol after multiple doses of 100 mg once daily in subjects with CKD. Observed data (circles) presented from Kirch."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0: Simulation of the pharmacokinetics of Atenolol after multiple doses of 100 mg once daily in subjects with CKD. Observed data (circles) presented from Kirch."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1: Simulation of the pharmacokinetics of Atenolol after multiple doses of 100 mg once daily in subjects with CKD. Observed data (circles) presented from Kirch."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2: Simulation of the pharmacokinetics of Atenolol after a single dose of 100 mg in subjects with CKD. Observed data (circles) presented from Sassard."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3: Simulation of the pharmacokinetics of Atenolol after a single dose of 100 mg in subjects with CKD. Observed data (circles) presented from Sassard."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4: Simulation of the pharmacokinetics of Atenolol after a single dose of 50 mg in subjects with CKD. Observed data (circles) presented from Wan."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Simulation of the pharmacokinetics of Atenolol after a single dose of 50 mg in subjects with CKD. Observed data (circles) presented from Wan.</w:t>
      </w:r>
    </w:p>
    <w:p>
      <w:pPr>
        <w:pStyle w:val="Textkrper"/>
      </w:pPr>
      <w:r>
        <w:t xml:space="preserve"> </w:t>
      </w:r>
    </w:p>
    <w:p>
      <w:pPr>
        <w:pStyle w:val="Textkrper"/>
      </w:pPr>
    </w:p>
    <w:bookmarkEnd w:id="79"/>
    <w:bookmarkEnd w:id="80"/>
    <w:bookmarkEnd w:id="81"/>
    <w:bookmarkStart w:id="82"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The Journal of Clinical Pharmacology.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2016;13(2):90-94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2010;194(2):W186-192.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2020;35(6):955-964.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2016;133(3):183-192.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2012;47(8):490-496.</w:t>
      </w:r>
    </w:p>
    <w:p>
      <w:pPr>
        <w:numPr>
          <w:ilvl w:val="0"/>
          <w:numId w:val="1001"/>
        </w:numPr>
        <w:pStyle w:val="Compact"/>
      </w:pPr>
      <w:r>
        <w:t xml:space="preserve">Hsu C-Y, Bates DW, Kuperman GJ, Curhan GC. Relationship between hematocrit and renal function in men and women. Kidney Int. 2001;59(2):725-731.</w:t>
      </w:r>
    </w:p>
    <w:p>
      <w:pPr>
        <w:numPr>
          <w:ilvl w:val="0"/>
          <w:numId w:val="1001"/>
        </w:numPr>
        <w:pStyle w:val="Compact"/>
      </w:pPr>
      <w:r>
        <w:t xml:space="preserve">Xia H, Ebben J, Ma JZ, Collins AJ. Hematocrit levels and hospitalization risks in hemodialysis patients. J Am Soc Nephrol. 1999;10(6):1309-1316.</w:t>
      </w:r>
    </w:p>
    <w:p>
      <w:pPr>
        <w:numPr>
          <w:ilvl w:val="0"/>
          <w:numId w:val="1001"/>
        </w:numPr>
        <w:pStyle w:val="Compact"/>
      </w:pPr>
      <w:r>
        <w:t xml:space="preserve">Ma JZ, Ebben J, Xia H, Collins AJ. Hematocrit level and associated mortality in hemodialysis patients. J Am Soc Nephrol. 1999;10(3):610-619.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2018;103(5):854-867.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2011;33(6):615-621.</w:t>
      </w:r>
    </w:p>
    <w:p>
      <w:pPr>
        <w:numPr>
          <w:ilvl w:val="0"/>
          <w:numId w:val="1001"/>
        </w:numPr>
        <w:pStyle w:val="Compact"/>
      </w:pPr>
      <w:r>
        <w:t xml:space="preserve">Guz G, Bali M, Poyraz NY, et al. Gastric emptying in patients on renal replacement therapy. Ren Fail. 2004;26(6):619-624.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2001;16(9):1850-1855.</w:t>
      </w:r>
    </w:p>
    <w:p>
      <w:pPr>
        <w:numPr>
          <w:ilvl w:val="0"/>
          <w:numId w:val="1001"/>
        </w:numPr>
        <w:pStyle w:val="Compact"/>
      </w:pPr>
      <w:r>
        <w:t xml:space="preserve">Van Vlem B, Schoonjans R, Vanholder R, et al. Delayed gastric emptying in dyspeptic chronic hemodialysis patients. Am J Kidney Dis. 2000;36(5):962-968.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2004;44(2):322-327.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Sandoz Canada Inc. Gentamicin Injection USP. 2017. https://www.sandoz.ca/sites/www.sandoz.ca/files/Gentamicin%20Inj%20Product%20Monograph.pdf.</w:t>
      </w:r>
    </w:p>
    <w:p>
      <w:pPr>
        <w:numPr>
          <w:ilvl w:val="0"/>
          <w:numId w:val="1001"/>
        </w:numPr>
        <w:pStyle w:val="Compact"/>
      </w:pPr>
      <w:r>
        <w:t xml:space="preserve">APP Fresenius Kabi USA. Gentamicin Injection USP. 2013. https://www.accessdata.fda.gov/drugsatfda_docs/label/2014/062366s033lbl.pdf.</w:t>
      </w:r>
    </w:p>
    <w:p>
      <w:pPr>
        <w:numPr>
          <w:ilvl w:val="0"/>
          <w:numId w:val="1001"/>
        </w:numPr>
        <w:pStyle w:val="Compact"/>
      </w:pPr>
      <w:r>
        <w:t xml:space="preserve">Regamey C, Gordon RC, Kirby WMM. Comparative pharmacokinetics of tobramycin and gentamicin. Clin Pharmacol Ther. 1973;14(3):396-403.</w:t>
      </w:r>
    </w:p>
    <w:p>
      <w:pPr>
        <w:numPr>
          <w:ilvl w:val="0"/>
          <w:numId w:val="1001"/>
        </w:numPr>
        <w:pStyle w:val="Compact"/>
      </w:pPr>
      <w:r>
        <w:t xml:space="preserve">DrugBank. Gentamicin. https://www.drugbank.ca/drugs/DB00798.</w:t>
      </w:r>
    </w:p>
    <w:p>
      <w:pPr>
        <w:numPr>
          <w:ilvl w:val="0"/>
          <w:numId w:val="1001"/>
        </w:numPr>
        <w:pStyle w:val="Compact"/>
      </w:pPr>
      <w:r>
        <w:t xml:space="preserve">PubChem. Gentamicin. https://pubchem.ncbi.nlm.nih.gov/compound/Gentamicin.</w:t>
      </w:r>
    </w:p>
    <w:p>
      <w:pPr>
        <w:numPr>
          <w:ilvl w:val="0"/>
          <w:numId w:val="1001"/>
        </w:numPr>
        <w:pStyle w:val="Compact"/>
      </w:pPr>
      <w:r>
        <w:t xml:space="preserve">Dagil R, O’Shea C, Nykjaer A, Bonvin AM, Kragelund BB. Gentamicin binds to the megalin receptor as a competitive inhibitor using the common ligand binding motif of complement type repeats: insight from the nmr structure of the 10th complement type repeat domain alone and in complex with gentamicin. J Biol Chem. 2013;288(6):4424-35.</w:t>
      </w:r>
    </w:p>
    <w:p>
      <w:pPr>
        <w:numPr>
          <w:ilvl w:val="0"/>
          <w:numId w:val="1001"/>
        </w:numPr>
        <w:pStyle w:val="Compact"/>
      </w:pPr>
      <w:r>
        <w:t xml:space="preserve">Gyselynck AM, Forrey A, Cutler R. Pharmacokinetics of gentamicin: distribution and plasma and renal clearance. J Infect Dis. 1971;124 Suppl:S70-6.</w:t>
      </w:r>
    </w:p>
    <w:p>
      <w:pPr>
        <w:numPr>
          <w:ilvl w:val="0"/>
          <w:numId w:val="1001"/>
        </w:numPr>
        <w:pStyle w:val="Compact"/>
      </w:pPr>
      <w:r>
        <w:t xml:space="preserve">Davey PG, Geddes AM, Gonda I, Harpur ES, Scott DK. Comparison of methods for estimating gentamicin clearance and retrospective analysis of changes in clearance with emphasis on patients with normal renal function. Br J Clin Pharmacol. 1984;17(2):147-55.</w:t>
      </w:r>
    </w:p>
    <w:p>
      <w:pPr>
        <w:numPr>
          <w:ilvl w:val="0"/>
          <w:numId w:val="1001"/>
        </w:numPr>
        <w:pStyle w:val="Compact"/>
      </w:pPr>
      <w:r>
        <w:t xml:space="preserve">Dume T, Wetzels E, Herms W, Schröder E, Wahlig H. Zur Pharmakokinetik von Gentamycinsulfat bei Gesunden und Patienten mit terminaler Niereninsuffizienz. Dtsch med Wochenschr. 1971;96(17):734-41.</w:t>
      </w:r>
    </w:p>
    <w:p>
      <w:pPr>
        <w:numPr>
          <w:ilvl w:val="0"/>
          <w:numId w:val="1001"/>
        </w:numPr>
        <w:pStyle w:val="Compact"/>
      </w:pPr>
      <w:r>
        <w:t xml:space="preserve">Lorentzen H, Kallehave F, Kolmos HJ, Knigge U, Bulow J, Gottrup F. Gentamicin concentrations in human subcutaneous tissue. Antimicrob Agents Chemother. 1996;40(8):1785-9.</w:t>
      </w:r>
    </w:p>
    <w:p>
      <w:pPr>
        <w:numPr>
          <w:ilvl w:val="0"/>
          <w:numId w:val="1001"/>
        </w:numPr>
        <w:pStyle w:val="Compact"/>
      </w:pPr>
      <w:r>
        <w:t xml:space="preserve">Meunier F, Van der Auwera P, Schmitt H, de Maertelaer V, Klastersky J. Pharmacokinetics of gentamicin after i.v. infusion or iv bolus. J Antimicrob Chemother. 1987;19(2):225-31.</w:t>
      </w:r>
    </w:p>
    <w:p>
      <w:pPr>
        <w:numPr>
          <w:ilvl w:val="0"/>
          <w:numId w:val="1001"/>
        </w:numPr>
        <w:pStyle w:val="Compact"/>
      </w:pPr>
      <w:r>
        <w:t xml:space="preserve">Ervin FR, Bullock WE, Jr., Nuttall CE. Inactivation of gentamicin by penicillins in patients with renal failure. Antimicrob Agents Chemother. 1976;9(6):1004-1011.</w:t>
      </w:r>
    </w:p>
    <w:p>
      <w:pPr>
        <w:numPr>
          <w:ilvl w:val="0"/>
          <w:numId w:val="1001"/>
        </w:numPr>
        <w:pStyle w:val="Compact"/>
      </w:pPr>
      <w:r>
        <w:t xml:space="preserve">DrugBank. Pindolol. https://www.drugbank.ca/drugs/DB00960.</w:t>
      </w:r>
    </w:p>
    <w:p>
      <w:pPr>
        <w:numPr>
          <w:ilvl w:val="0"/>
          <w:numId w:val="1001"/>
        </w:numPr>
        <w:pStyle w:val="Compact"/>
      </w:pPr>
      <w:r>
        <w:t xml:space="preserve">Hsyu P-H, Giacomini KM. Stereoselective renal clearance of pindolol in humans. J Clin Invest. 1985;76(5):1720-6.</w:t>
      </w:r>
    </w:p>
    <w:p>
      <w:pPr>
        <w:numPr>
          <w:ilvl w:val="0"/>
          <w:numId w:val="1001"/>
        </w:numPr>
        <w:pStyle w:val="Compact"/>
      </w:pPr>
      <w:r>
        <w:t xml:space="preserve">Cheung SYA, Rodgers T, Aarons L, et al. Whole body physiologically based modelling of ß-blockers in the rat: events in tissues and plasma following an i.v. bolus dose. Br J Pharmacol. 2018;175(1):67-83.</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Galeazzi RL, Gugger M, Weidmann P. Beta blockade with pindolol: differential cardiac and renal effects despite similar plasma kinetics in normal and uremic man. Kidney Int. 1979;15(6):661-8.</w:t>
      </w:r>
    </w:p>
    <w:p>
      <w:pPr>
        <w:numPr>
          <w:ilvl w:val="0"/>
          <w:numId w:val="1001"/>
        </w:numPr>
        <w:pStyle w:val="Compact"/>
      </w:pPr>
      <w:r>
        <w:t xml:space="preserve">Guerret M, Cheymol G, Aubry J, Cheymol A, Lavene D, Kiechel J. Estimation of the absolute oral bioavailability of pindolol by two analytical methods. Eur J Clin Pharmacol. 1983;25(3):357-9.</w:t>
      </w:r>
    </w:p>
    <w:p>
      <w:pPr>
        <w:numPr>
          <w:ilvl w:val="0"/>
          <w:numId w:val="1001"/>
        </w:numPr>
        <w:pStyle w:val="Compact"/>
      </w:pPr>
      <w:r>
        <w:t xml:space="preserve">Lavene D, Weiss Y, Safar M, et al. Pharmacokinetics and hepatic extraction ratio of pindolol in hypertensive patients with normal and impaired renal function. J Clin Pharmacol. 1977;17(8-9):501-8.</w:t>
      </w:r>
    </w:p>
    <w:p>
      <w:pPr>
        <w:numPr>
          <w:ilvl w:val="0"/>
          <w:numId w:val="1001"/>
        </w:numPr>
        <w:pStyle w:val="Compact"/>
      </w:pPr>
      <w:r>
        <w:t xml:space="preserve">Sakurada W, Shimoyama T, Itoh K, Kobayashi M. Solubility estimation for drugs treated with the simple suspension method using available dissolution test profiles. Iryo Yakugaku. 2015;41(8):540-9.</w:t>
      </w:r>
    </w:p>
    <w:p>
      <w:pPr>
        <w:numPr>
          <w:ilvl w:val="0"/>
          <w:numId w:val="1001"/>
        </w:numPr>
        <w:pStyle w:val="Compact"/>
      </w:pPr>
      <w:r>
        <w:t xml:space="preserve">Aellig W, Nüesch E, Pacha W. Pharmacokinetic comparison of pindolol 30 mg retard and 15 mg normal tablets. Eur J Clin Pharmacol. 1982;21(6):451-5.</w:t>
      </w:r>
    </w:p>
    <w:p>
      <w:pPr>
        <w:numPr>
          <w:ilvl w:val="0"/>
          <w:numId w:val="1001"/>
        </w:numPr>
        <w:pStyle w:val="Compact"/>
      </w:pPr>
      <w:r>
        <w:t xml:space="preserve">Balant L, Muir K, Dayer P, et al. Simultaneous tubular excretion and reabsorption of pindolol in man. Eur J Clin Pharmacol. 1981;21(1):65-72.</w:t>
      </w:r>
    </w:p>
    <w:p>
      <w:pPr>
        <w:numPr>
          <w:ilvl w:val="0"/>
          <w:numId w:val="1001"/>
        </w:numPr>
        <w:pStyle w:val="Compact"/>
      </w:pPr>
      <w:r>
        <w:t xml:space="preserve">Gretzer I, Alvan G, Duner H, Garle M, Sjöqvist F. Beta-blocking effect and pharmacokinetics of pindolol in young and elderly hypertensive patients. Eur J Clin Pharmacol. 1986;31(4):415-8.</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Hanyok JJ. Clinical pharmacokinetics of sotalol. Am J Cardiol. 1993;72(4):19a-26a.</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Yang Y, Faustino PJ, Volpe DA, Ellison CD, Lyon RC, Yu LX. Biopharmaceutics classification of selected ß-blockers: solubility and permeability class membership. Mol Pharm. 2007;4(4):608-14.</w:t>
      </w:r>
    </w:p>
    <w:p>
      <w:pPr>
        <w:numPr>
          <w:ilvl w:val="0"/>
          <w:numId w:val="1001"/>
        </w:numPr>
        <w:pStyle w:val="Compact"/>
      </w:pPr>
      <w:r>
        <w:t xml:space="preserve">Belpaire FM, Bogaert MG, Rosseneu M. Binding of ß-adrenoceptor blocking drugs to human serum albumin, to a1-acid glycoprotein and to human serum. Eur J Clin Pharmacol. 1982;22(3):253-6.</w:t>
      </w:r>
    </w:p>
    <w:p>
      <w:pPr>
        <w:numPr>
          <w:ilvl w:val="0"/>
          <w:numId w:val="1001"/>
        </w:numPr>
        <w:pStyle w:val="Compact"/>
      </w:pPr>
      <w:r>
        <w:t xml:space="preserve">Shalaeva M, Kenseth J, Lombardo F, Bastin AJJops. Measurement of dissociation constants (pKa values) of organic compounds by multiplexed capillary electrophoresis using aqueous and cosolvent buffers. 2008;97(7):2581-606.</w:t>
      </w:r>
    </w:p>
    <w:p>
      <w:pPr>
        <w:numPr>
          <w:ilvl w:val="0"/>
          <w:numId w:val="1001"/>
        </w:numPr>
        <w:pStyle w:val="Compact"/>
      </w:pPr>
      <w:r>
        <w:t xml:space="preserve">Hancu G, Samarghitan C, Rusu A, Mircia E. Sotalol chiral separation by capillary electrophoresis. J Chil Chem Soc. 2014;59(3):2559-62.</w:t>
      </w:r>
    </w:p>
    <w:p>
      <w:pPr>
        <w:numPr>
          <w:ilvl w:val="0"/>
          <w:numId w:val="1001"/>
        </w:numPr>
        <w:pStyle w:val="Compact"/>
      </w:pPr>
      <w:r>
        <w:t xml:space="preserve">DrugBank. Sotalol. https://www.drugbank.ca/drugs/DB00489.</w:t>
      </w:r>
    </w:p>
    <w:p>
      <w:pPr>
        <w:numPr>
          <w:ilvl w:val="0"/>
          <w:numId w:val="1001"/>
        </w:numPr>
        <w:pStyle w:val="Compact"/>
      </w:pPr>
      <w:r>
        <w:t xml:space="preserve">Misaka S, Knop J, Singer K, et al. The nonmetabolized beta-blocker nadolol is a substrate of OCT1, OCT2, MATE1, MATE2-K, and p-glycoprotein, but not of OATP1B1 and OATP1B3. Mol Pharm. 2016;13(2):512-19.</w:t>
      </w:r>
    </w:p>
    <w:p>
      <w:pPr>
        <w:numPr>
          <w:ilvl w:val="0"/>
          <w:numId w:val="1001"/>
        </w:numPr>
        <w:pStyle w:val="Compact"/>
      </w:pPr>
      <w:r>
        <w:t xml:space="preserve">Anttila M, Arstila M, Pfeffer M, Tikkanen R, Vallinkoski V, Sundquist H. Human pharmacokinetics of sotalol. Acta Pharmacol Toxicol (Copenh). 1976;39(1):118-28.</w:t>
      </w:r>
    </w:p>
    <w:p>
      <w:pPr>
        <w:numPr>
          <w:ilvl w:val="0"/>
          <w:numId w:val="1001"/>
        </w:numPr>
        <w:pStyle w:val="Compact"/>
      </w:pPr>
      <w:r>
        <w:t xml:space="preserve">Poirier JM, Jaillon P, Lecocq B, Lecocq V, Ferry A, Cheymol G. The pharmacokinetics of d-sotalol and d,l-sotalol in healthy volunteers. Eur J Clin Pharmacol. 1990;38(6):579-82.</w:t>
      </w:r>
    </w:p>
    <w:p>
      <w:pPr>
        <w:numPr>
          <w:ilvl w:val="0"/>
          <w:numId w:val="1001"/>
        </w:numPr>
        <w:pStyle w:val="Compact"/>
      </w:pPr>
      <w:r>
        <w:t xml:space="preserve">Salazar DE, Much DR, Nichola PS, Seibold JR, Shindler D, Slugg PH. A pharmacokinetic-pharmacodynamic model of d-sotalol Q-Tc prolongation during intravenous administration to healthy subjects. J Clin Pharmacol. 2013;37(9):799-809.</w:t>
      </w:r>
    </w:p>
    <w:p>
      <w:pPr>
        <w:numPr>
          <w:ilvl w:val="0"/>
          <w:numId w:val="1001"/>
        </w:numPr>
        <w:pStyle w:val="Compact"/>
      </w:pPr>
      <w:r>
        <w:t xml:space="preserve">Uematsu T, Kanamaru M, Nakashima M. Comparative pharmacokinetic and pharmacodynamic properties of oral and intravenous (+)-sotalol in healthy volunteers. J Pharm Pharmacol. 1994;46(7):600-605.</w:t>
      </w:r>
    </w:p>
    <w:p>
      <w:pPr>
        <w:numPr>
          <w:ilvl w:val="0"/>
          <w:numId w:val="1001"/>
        </w:numPr>
        <w:pStyle w:val="Compact"/>
      </w:pPr>
      <w:r>
        <w:t xml:space="preserve">Dahan A, Lennernäs H, Amidon GL. The fraction dose absorbed, in humans, and high jejunal human permeability relationship. Mol Pharm. 2012;9(6):1847-51.</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Tjandramaga TB, Verbeeck R, Thomas J, Verbesselt R, Verberckmoes R, Schepper PJ. The effect of end-stage renal failure and haemodialysis on the elimination kinetics of sotalol. Br J Clin Pharmacol. 1976;3(2):259-65.</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ANI Pharmaceuticals Inc. Vancomycin Hydrochloride for Injection USP. 2017. https://www.accessdata.fda.gov/drugsatfda_docs/label/2017/060180s048lbl.pdf.</w:t>
      </w:r>
    </w:p>
    <w:p>
      <w:pPr>
        <w:numPr>
          <w:ilvl w:val="0"/>
          <w:numId w:val="1001"/>
        </w:numPr>
        <w:pStyle w:val="Compact"/>
      </w:pPr>
      <w:r>
        <w:t xml:space="preserve">Chen Y, Norris RL, Schneider JJ, Ravenscroft PJ. The influence of vancomycin concentration and the pH of plasma on vancomycin protein binding. J Pharmacol Toxicol Methods. 1992;28(1):57-60.</w:t>
      </w:r>
    </w:p>
    <w:p>
      <w:pPr>
        <w:numPr>
          <w:ilvl w:val="0"/>
          <w:numId w:val="1001"/>
        </w:numPr>
        <w:pStyle w:val="Compact"/>
      </w:pPr>
      <w:r>
        <w:t xml:space="preserve">Matzke GR, Zhanel GG, Guay DR. Clinical pharmacokinetics of vancomycin. Clin Pharmacokinet. 1986;11(4):257-82.</w:t>
      </w:r>
    </w:p>
    <w:p>
      <w:pPr>
        <w:numPr>
          <w:ilvl w:val="0"/>
          <w:numId w:val="1001"/>
        </w:numPr>
        <w:pStyle w:val="Compact"/>
      </w:pPr>
      <w:r>
        <w:t xml:space="preserve">Radke C, Horn D, Lanckohr C, et al. Development of a physiologically based pharmacokinetic modelling approach to predict the pharmacokinetics of vancomycin in critically ill septic patients. Clin Pharmacokinet. 2017;56(7):759-79.</w:t>
      </w:r>
    </w:p>
    <w:p>
      <w:pPr>
        <w:numPr>
          <w:ilvl w:val="0"/>
          <w:numId w:val="1001"/>
        </w:numPr>
        <w:pStyle w:val="Compact"/>
      </w:pPr>
      <w:r>
        <w:t xml:space="preserve">DrugBank. Vancomycin. https://www.drugbank.ca/drugs/DB00512.</w:t>
      </w:r>
    </w:p>
    <w:p>
      <w:pPr>
        <w:numPr>
          <w:ilvl w:val="0"/>
          <w:numId w:val="1001"/>
        </w:numPr>
        <w:pStyle w:val="Compact"/>
      </w:pPr>
      <w:r>
        <w:t xml:space="preserve">Krogstad DJ, Moellering Jr RC, Greenrlatt DJ. Single-dose kinetics of intravenous vancomycin. J Clin Pharmacol. 1980;20(4):197-201.</w:t>
      </w:r>
    </w:p>
    <w:p>
      <w:pPr>
        <w:numPr>
          <w:ilvl w:val="0"/>
          <w:numId w:val="1001"/>
        </w:numPr>
        <w:pStyle w:val="Compact"/>
      </w:pPr>
      <w:r>
        <w:t xml:space="preserve">Butterfield JM, Patel N, Pai MP, Rosano TG, Drusano GL, Lodise TP. Refining vancomycin protein binding estimates: identification of clinical factors that influence protein binding. Antimicrob Agents Chemother. 2011;55(9):4277-82.</w:t>
      </w:r>
    </w:p>
    <w:p>
      <w:pPr>
        <w:numPr>
          <w:ilvl w:val="0"/>
          <w:numId w:val="1001"/>
        </w:numPr>
        <w:pStyle w:val="Compact"/>
      </w:pPr>
      <w:r>
        <w:t xml:space="preserve">Vandecasteele SJ, De Vriese AS. Recent changes in vancomycin use in renal failure. Kidney Int. 2010;77(9):760-4.</w:t>
      </w:r>
    </w:p>
    <w:p>
      <w:pPr>
        <w:numPr>
          <w:ilvl w:val="0"/>
          <w:numId w:val="1001"/>
        </w:numPr>
        <w:pStyle w:val="Compact"/>
      </w:pPr>
      <w:r>
        <w:t xml:space="preserve">Cutler NR, Narang PK, Lesko LJ, Ninos M, Power M. Vancomycin disposition: the importance of age. Clin Pharmacol Ther. 1984;36(6):803-10.</w:t>
      </w:r>
    </w:p>
    <w:p>
      <w:pPr>
        <w:numPr>
          <w:ilvl w:val="0"/>
          <w:numId w:val="1001"/>
        </w:numPr>
        <w:pStyle w:val="Compact"/>
      </w:pPr>
      <w:r>
        <w:t xml:space="preserve">Blouin RA, Bauer LA, Miller DD, Record KE, Griffen WO. Vancomycin pharmacokinetics in normal and morbidly obese subjects. Antimicrob Agents Chemother. 1982;21(4):575-80.</w:t>
      </w:r>
    </w:p>
    <w:p>
      <w:pPr>
        <w:numPr>
          <w:ilvl w:val="0"/>
          <w:numId w:val="1001"/>
        </w:numPr>
        <w:pStyle w:val="Compact"/>
      </w:pPr>
      <w:r>
        <w:t xml:space="preserve">Healy DP, Polk RE, Garson ML, Rock DT, Comstock TJ. Comparison of steady-state pharmacokinetics of two dosage regimens of vancomycin in normal volunteers. Antimicrob Agents Chemother. 1987;31(3):393-7.</w:t>
      </w:r>
    </w:p>
    <w:p>
      <w:pPr>
        <w:numPr>
          <w:ilvl w:val="0"/>
          <w:numId w:val="1001"/>
        </w:numPr>
        <w:pStyle w:val="Compact"/>
      </w:pPr>
      <w:r>
        <w:t xml:space="preserve">Decker BS, Kays MB, Chambers M, Kraus MA, Moe SM, Sowinski KM. Vancomycin pharmacokinetics and pharmacodynamics during short daily hemodialysis. Clin J Am Soc Nephrol. 2010;5(11):1981-1987.</w:t>
      </w:r>
    </w:p>
    <w:bookmarkEnd w:id="82"/>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2022-05-03T13:10:18Z</dcterms:created>
  <dcterms:modified xsi:type="dcterms:W3CDTF">2022-05-03T13:10:18Z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subtitle">
    <vt:lpwstr/>
  </property>
</Properties>
</file>